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CF12DB">
        <w:rPr>
          <w:sz w:val="24"/>
          <w:szCs w:val="24"/>
        </w:rPr>
        <w:t>45 - 16</w:t>
      </w:r>
      <w:bookmarkStart w:id="0" w:name="_GoBack"/>
      <w:bookmarkEnd w:id="0"/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75AC4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F173B1">
        <w:rPr>
          <w:sz w:val="24"/>
          <w:szCs w:val="24"/>
        </w:rPr>
        <w:t>26.04</w:t>
      </w:r>
      <w:r w:rsidR="00B86F70">
        <w:rPr>
          <w:sz w:val="24"/>
          <w:szCs w:val="24"/>
        </w:rPr>
        <w:t>.</w:t>
      </w:r>
      <w:r w:rsidR="00477FA7">
        <w:rPr>
          <w:sz w:val="24"/>
          <w:szCs w:val="24"/>
        </w:rPr>
        <w:t>2016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B86F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Statusrapport </w:t>
      </w:r>
      <w:r w:rsidR="00F173B1">
        <w:rPr>
          <w:b/>
          <w:sz w:val="28"/>
          <w:szCs w:val="28"/>
          <w:u w:val="single"/>
        </w:rPr>
        <w:t>april</w:t>
      </w:r>
      <w:r>
        <w:rPr>
          <w:b/>
          <w:sz w:val="28"/>
          <w:szCs w:val="28"/>
          <w:u w:val="single"/>
        </w:rPr>
        <w:t xml:space="preserve"> 2016 – ny hovedbrannstasjon med øyeblikkelig hjelp, legevakt og ambulansesentral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>I denne saken legges frem status for prosjektet ny hovedbrannstasjon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520,5 mill kr (K</w:t>
      </w:r>
      <w:r w:rsidR="00477FA7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342006" w:rsidRDefault="00342006" w:rsidP="00342006">
      <w:pPr>
        <w:rPr>
          <w:b/>
          <w:color w:val="000000" w:themeColor="text1"/>
          <w:u w:val="single"/>
        </w:rPr>
      </w:pPr>
    </w:p>
    <w:p w:rsidR="00342006" w:rsidRPr="00756C1B" w:rsidRDefault="00342006" w:rsidP="00342006">
      <w:pPr>
        <w:rPr>
          <w:color w:val="000000" w:themeColor="text1"/>
          <w:u w:val="single"/>
        </w:rPr>
      </w:pPr>
      <w:r w:rsidRPr="00756C1B">
        <w:rPr>
          <w:color w:val="000000" w:themeColor="text1"/>
          <w:u w:val="single"/>
        </w:rPr>
        <w:lastRenderedPageBreak/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Pr="00A21214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8564F7">
        <w:rPr>
          <w:color w:val="000000" w:themeColor="text1"/>
        </w:rPr>
        <w:t xml:space="preserve"> - 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8564F7">
        <w:rPr>
          <w:color w:val="000000" w:themeColor="text1"/>
        </w:rPr>
        <w:t xml:space="preserve"> – </w:t>
      </w:r>
      <w:r w:rsidR="00E41391">
        <w:rPr>
          <w:color w:val="000000" w:themeColor="text1"/>
        </w:rPr>
        <w:t>utført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8564F7">
        <w:rPr>
          <w:color w:val="000000" w:themeColor="text1"/>
        </w:rPr>
        <w:t xml:space="preserve"> - 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8564F7">
        <w:rPr>
          <w:color w:val="000000" w:themeColor="text1"/>
        </w:rPr>
        <w:t xml:space="preserve"> - 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8564F7">
        <w:rPr>
          <w:color w:val="000000" w:themeColor="text1"/>
        </w:rPr>
        <w:t xml:space="preserve"> - utført</w:t>
      </w:r>
    </w:p>
    <w:p w:rsidR="00342006" w:rsidRDefault="00342006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elementmontasje november 2015</w:t>
      </w:r>
      <w:r w:rsidR="008564F7">
        <w:rPr>
          <w:color w:val="000000" w:themeColor="text1"/>
        </w:rPr>
        <w:t xml:space="preserve"> - igangsatt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utarbeidelse av husleiekontrakter høsten 2015</w:t>
      </w:r>
      <w:r w:rsidR="008564F7">
        <w:rPr>
          <w:color w:val="000000" w:themeColor="text1"/>
        </w:rPr>
        <w:t xml:space="preserve"> – 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Pr="00A21214" w:rsidRDefault="00D84F34" w:rsidP="00A21214">
      <w:pPr>
        <w:spacing w:after="0" w:line="360" w:lineRule="auto"/>
        <w:rPr>
          <w:rFonts w:ascii="Times New Roman" w:hAnsi="Times New Roman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SHA-koordinator for både prosjekteringsfasen og gjennomføringsfasen </w:t>
      </w:r>
      <w:r w:rsidR="00477FA7">
        <w:rPr>
          <w:color w:val="000000" w:themeColor="text1"/>
        </w:rPr>
        <w:t xml:space="preserve">engasjert </w:t>
      </w:r>
      <w:r w:rsidRPr="00873728">
        <w:rPr>
          <w:color w:val="000000" w:themeColor="text1"/>
        </w:rPr>
        <w:t xml:space="preserve">via rammeavtale med Epcon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</w:t>
      </w:r>
      <w:r w:rsidR="00477FA7">
        <w:rPr>
          <w:color w:val="000000" w:themeColor="text1"/>
        </w:rPr>
        <w:t xml:space="preserve"> (onsdager oddetallsuker)</w:t>
      </w:r>
      <w:r w:rsidR="00B44FCA">
        <w:rPr>
          <w:color w:val="000000" w:themeColor="text1"/>
        </w:rPr>
        <w:t>.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HMS-plan er utarbeidet og gjennomgått.</w:t>
      </w:r>
    </w:p>
    <w:p w:rsidR="00B44FCA" w:rsidRPr="000212FD" w:rsidRDefault="00B44FCA" w:rsidP="00646C33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Totalentreprenør har utarbeidet personlige sikkerhetsinstruks som hver </w:t>
      </w:r>
      <w:r w:rsidR="00F55967">
        <w:rPr>
          <w:color w:val="000000" w:themeColor="text1"/>
        </w:rPr>
        <w:t>deltaker i prosjektet må lese og signere når de ankommer byggeplass.</w:t>
      </w:r>
    </w:p>
    <w:p w:rsidR="00646C33" w:rsidRPr="00022593" w:rsidRDefault="00022593" w:rsidP="006336F4">
      <w:pPr>
        <w:pStyle w:val="Listeavsnitt"/>
        <w:numPr>
          <w:ilvl w:val="0"/>
          <w:numId w:val="7"/>
        </w:numPr>
        <w:ind w:left="708"/>
        <w:rPr>
          <w:b/>
          <w:color w:val="000000" w:themeColor="text1"/>
          <w:u w:val="single"/>
        </w:rPr>
      </w:pPr>
      <w:r w:rsidRPr="00022593">
        <w:rPr>
          <w:color w:val="000000" w:themeColor="text1"/>
        </w:rPr>
        <w:t xml:space="preserve">En alvorlig hendelse 16. mars 2016.Under montering av prefabrikert betongbjelke på 31 tonn, røk kranwire og betongbjelken falt i bakken fra rundt 7 meters høyde.  Ingen personskader. Alle varslingsprosedyrer ble fulgt. Saken følges opp av Arbeidstilsynet i samarbeid med Politiet. Avventer saken til granskningsrapport foreligger.  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730"/>
      </w:tblGrid>
      <w:tr w:rsidR="00F55967" w:rsidRPr="001C0CB1" w:rsidTr="00477FA7">
        <w:tc>
          <w:tcPr>
            <w:tcW w:w="6975" w:type="dxa"/>
            <w:gridSpan w:val="3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730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477FA7" w:rsidRPr="001C0CB1" w:rsidRDefault="00B86F70" w:rsidP="00EC33DD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477FA7" w:rsidRPr="001C0CB1" w:rsidRDefault="00A91818" w:rsidP="00477FA7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77FA7" w:rsidRPr="001C0CB1" w:rsidRDefault="00B86F7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477FA7" w:rsidRPr="001C0CB1" w:rsidRDefault="00B86F7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477FA7" w:rsidRPr="001C0CB1" w:rsidRDefault="00A9181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30" w:type="dxa"/>
          </w:tcPr>
          <w:p w:rsidR="00477FA7" w:rsidRPr="001C0CB1" w:rsidRDefault="00A9181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477FA7" w:rsidRDefault="00A9181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Default="00B86F7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477FA7" w:rsidRPr="001C0CB1" w:rsidRDefault="00A9181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30" w:type="dxa"/>
          </w:tcPr>
          <w:p w:rsidR="00477FA7" w:rsidRPr="001C0CB1" w:rsidRDefault="00A9181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91818" w:rsidRDefault="00A91818" w:rsidP="00873728">
      <w:pPr>
        <w:rPr>
          <w:b/>
          <w:color w:val="000000" w:themeColor="text1"/>
          <w:u w:val="single"/>
        </w:rPr>
      </w:pP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lastRenderedPageBreak/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</w:t>
      </w:r>
      <w:r w:rsidR="00EC33DD">
        <w:rPr>
          <w:color w:val="000000" w:themeColor="text1"/>
        </w:rPr>
        <w:t xml:space="preserve"> og betongelementer</w:t>
      </w:r>
      <w:r>
        <w:rPr>
          <w:color w:val="000000" w:themeColor="text1"/>
        </w:rPr>
        <w:t>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</w:t>
      </w:r>
      <w:r w:rsidR="007C30D8">
        <w:rPr>
          <w:color w:val="000000" w:themeColor="text1"/>
        </w:rPr>
        <w:t xml:space="preserve"> </w:t>
      </w:r>
      <w:r>
        <w:rPr>
          <w:color w:val="000000" w:themeColor="text1"/>
        </w:rPr>
        <w:t>m over gulv</w:t>
      </w:r>
    </w:p>
    <w:p w:rsidR="00B86F70" w:rsidRDefault="00B86F70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Betongelementmontasje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 xml:space="preserve">emanning </w:t>
      </w:r>
      <w:r w:rsidR="00C6584C">
        <w:rPr>
          <w:color w:val="000000" w:themeColor="text1"/>
        </w:rPr>
        <w:t>rapportert 7. april</w:t>
      </w:r>
      <w:r w:rsidR="00EC33DD" w:rsidRPr="00EC33DD">
        <w:rPr>
          <w:color w:val="000000" w:themeColor="text1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19"/>
        <w:gridCol w:w="2713"/>
      </w:tblGrid>
      <w:tr w:rsidR="00EC33DD" w:rsidTr="008B1C57">
        <w:tc>
          <w:tcPr>
            <w:tcW w:w="2810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2819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2713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2713" w:type="dxa"/>
          </w:tcPr>
          <w:p w:rsidR="00EC33DD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Brannsikring</w:t>
            </w:r>
          </w:p>
        </w:tc>
        <w:tc>
          <w:tcPr>
            <w:tcW w:w="2713" w:type="dxa"/>
          </w:tcPr>
          <w:p w:rsidR="00B86F70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2713" w:type="dxa"/>
          </w:tcPr>
          <w:p w:rsidR="00EC33DD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2713" w:type="dxa"/>
          </w:tcPr>
          <w:p w:rsidR="00EC33DD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2713" w:type="dxa"/>
          </w:tcPr>
          <w:p w:rsidR="00EC33DD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2713" w:type="dxa"/>
          </w:tcPr>
          <w:p w:rsidR="00EC33DD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Elementmontasje Vest</w:t>
            </w:r>
          </w:p>
        </w:tc>
        <w:tc>
          <w:tcPr>
            <w:tcW w:w="2819" w:type="dxa"/>
          </w:tcPr>
          <w:p w:rsidR="00EC33DD" w:rsidRDefault="000212F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Prefabrikkerte</w:t>
            </w:r>
            <w:r w:rsidR="00BD041B">
              <w:rPr>
                <w:color w:val="000000" w:themeColor="text1"/>
              </w:rPr>
              <w:t xml:space="preserve"> betongelementer</w:t>
            </w:r>
          </w:p>
        </w:tc>
        <w:tc>
          <w:tcPr>
            <w:tcW w:w="2713" w:type="dxa"/>
          </w:tcPr>
          <w:p w:rsidR="00EC33DD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074D4" w:rsidTr="008B1C57">
        <w:tc>
          <w:tcPr>
            <w:tcW w:w="2810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Stålteknikk</w:t>
            </w:r>
          </w:p>
        </w:tc>
        <w:tc>
          <w:tcPr>
            <w:tcW w:w="2819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Stålmontasje</w:t>
            </w:r>
          </w:p>
        </w:tc>
        <w:tc>
          <w:tcPr>
            <w:tcW w:w="2713" w:type="dxa"/>
          </w:tcPr>
          <w:p w:rsidR="00F074D4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Murmester Jan Petersen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Murarbeider</w:t>
            </w:r>
          </w:p>
        </w:tc>
        <w:tc>
          <w:tcPr>
            <w:tcW w:w="2713" w:type="dxa"/>
          </w:tcPr>
          <w:p w:rsidR="00B86F70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Akost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Tømmerarbeider</w:t>
            </w:r>
          </w:p>
        </w:tc>
        <w:tc>
          <w:tcPr>
            <w:tcW w:w="2713" w:type="dxa"/>
          </w:tcPr>
          <w:p w:rsidR="00B86F70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Sandnes Tak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Tekkearbeider</w:t>
            </w:r>
          </w:p>
        </w:tc>
        <w:tc>
          <w:tcPr>
            <w:tcW w:w="2713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Rubicon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Glass og aluminiumsfasade</w:t>
            </w:r>
          </w:p>
        </w:tc>
        <w:tc>
          <w:tcPr>
            <w:tcW w:w="2713" w:type="dxa"/>
          </w:tcPr>
          <w:p w:rsidR="00B86F70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8B1C57" w:rsidTr="008B1C57">
        <w:tc>
          <w:tcPr>
            <w:tcW w:w="5629" w:type="dxa"/>
            <w:gridSpan w:val="2"/>
            <w:shd w:val="clear" w:color="auto" w:fill="C6D9F1" w:themeFill="text2" w:themeFillTint="33"/>
          </w:tcPr>
          <w:p w:rsidR="008B1C57" w:rsidRDefault="008B1C57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8B1C57" w:rsidRDefault="00A9181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</w:tr>
    </w:tbl>
    <w:p w:rsidR="00EC33DD" w:rsidRPr="00EC33DD" w:rsidRDefault="00EC33DD" w:rsidP="00EC33DD">
      <w:pPr>
        <w:pStyle w:val="Listeavsnitt"/>
        <w:rPr>
          <w:color w:val="000000" w:themeColor="text1"/>
        </w:rPr>
      </w:pPr>
    </w:p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891E86" w:rsidRPr="008B1C57" w:rsidRDefault="00A91818" w:rsidP="008B1C5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Godkjent 7</w:t>
      </w:r>
      <w:r w:rsidR="00F074D4" w:rsidRPr="008B1C57">
        <w:rPr>
          <w:color w:val="000000" w:themeColor="text1"/>
        </w:rPr>
        <w:t xml:space="preserve"> uker</w:t>
      </w:r>
      <w:r>
        <w:rPr>
          <w:color w:val="000000" w:themeColor="text1"/>
        </w:rPr>
        <w:t xml:space="preserve"> forsinkelse i prosjektet</w:t>
      </w:r>
      <w:r w:rsidR="008B1C57">
        <w:rPr>
          <w:color w:val="000000" w:themeColor="text1"/>
        </w:rPr>
        <w:t>, men BH vil få anledning til å igangsette montasje av installasjoner 2 uker tidligere, altså 5 uker etter opprinnelig plan.</w:t>
      </w:r>
    </w:p>
    <w:p w:rsidR="00E41391" w:rsidRPr="00E41391" w:rsidRDefault="00E41391" w:rsidP="00E21C98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Fargekonsept for bygget er utarbeidet og gjennomgått med BH/PL. Brukere av bygget har fått anledning til å gi kommentarer og innspill til fargekonseptet. </w:t>
      </w:r>
    </w:p>
    <w:p w:rsidR="00E41391" w:rsidRPr="00E41391" w:rsidRDefault="00E41391" w:rsidP="00E41391">
      <w:pPr>
        <w:pStyle w:val="Listeavsnitt"/>
        <w:rPr>
          <w:b/>
          <w:color w:val="000000" w:themeColor="text1"/>
          <w:u w:val="single"/>
        </w:rPr>
      </w:pPr>
      <w:r>
        <w:rPr>
          <w:color w:val="000000" w:themeColor="text1"/>
        </w:rPr>
        <w:t>Gjennomgang av fargekonsept ift.</w:t>
      </w:r>
      <w:r w:rsidR="00C6584C">
        <w:rPr>
          <w:color w:val="000000" w:themeColor="text1"/>
        </w:rPr>
        <w:t xml:space="preserve"> valg av</w:t>
      </w:r>
      <w:r>
        <w:rPr>
          <w:color w:val="000000" w:themeColor="text1"/>
        </w:rPr>
        <w:t xml:space="preserve"> gulv, </w:t>
      </w:r>
      <w:r w:rsidR="00C6584C">
        <w:rPr>
          <w:color w:val="000000" w:themeColor="text1"/>
        </w:rPr>
        <w:t xml:space="preserve">farge på </w:t>
      </w:r>
      <w:r>
        <w:rPr>
          <w:color w:val="000000" w:themeColor="text1"/>
        </w:rPr>
        <w:t>dører og vegg</w:t>
      </w:r>
      <w:r w:rsidR="00C6584C">
        <w:rPr>
          <w:color w:val="000000" w:themeColor="text1"/>
        </w:rPr>
        <w:t>er</w:t>
      </w:r>
      <w:r>
        <w:rPr>
          <w:color w:val="000000" w:themeColor="text1"/>
        </w:rPr>
        <w:t xml:space="preserve"> gjort i særmøte der BH, PL,TE , arkitekt og UE deltok.</w:t>
      </w:r>
    </w:p>
    <w:p w:rsidR="00B85F69" w:rsidRPr="008B1C57" w:rsidRDefault="00B85F69" w:rsidP="00E21C98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8B1C57">
        <w:rPr>
          <w:color w:val="000000" w:themeColor="text1"/>
        </w:rPr>
        <w:t>Entreprenørs arkitekt er engasjert for å utarbeide inventarplaner for bygget</w:t>
      </w:r>
      <w:r w:rsidR="001B3BCC">
        <w:rPr>
          <w:color w:val="000000" w:themeColor="text1"/>
        </w:rPr>
        <w:t>, prosjektleder har purret på le</w:t>
      </w:r>
      <w:r w:rsidR="00891E86" w:rsidRPr="008B1C57">
        <w:rPr>
          <w:color w:val="000000" w:themeColor="text1"/>
        </w:rPr>
        <w:t>veringsdato.</w:t>
      </w:r>
      <w:r w:rsidR="00E41391">
        <w:rPr>
          <w:color w:val="000000" w:themeColor="text1"/>
        </w:rPr>
        <w:t xml:space="preserve"> Det meste er nå på plass og det forventes at dette ferdigstilles i løpet av april.</w:t>
      </w:r>
    </w:p>
    <w:p w:rsidR="008564F7" w:rsidRPr="003D541E" w:rsidRDefault="003D541E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Skiltplan </w:t>
      </w:r>
      <w:r w:rsidR="00E41391">
        <w:rPr>
          <w:color w:val="000000" w:themeColor="text1"/>
        </w:rPr>
        <w:t xml:space="preserve">er ferdigstilt og innsendt til Sandnes kommune, Bymiljø. </w:t>
      </w:r>
    </w:p>
    <w:p w:rsidR="00E41391" w:rsidRPr="00E41391" w:rsidRDefault="000E6608" w:rsidP="00CA5D4D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E41391">
        <w:rPr>
          <w:color w:val="000000" w:themeColor="text1"/>
        </w:rPr>
        <w:t xml:space="preserve">Utarbeidelse av husleieavtaler pågår. Avdeling </w:t>
      </w:r>
      <w:r w:rsidR="00B9703D" w:rsidRPr="00E41391">
        <w:rPr>
          <w:color w:val="000000" w:themeColor="text1"/>
        </w:rPr>
        <w:t>«</w:t>
      </w:r>
      <w:r w:rsidRPr="00E41391">
        <w:rPr>
          <w:color w:val="000000" w:themeColor="text1"/>
        </w:rPr>
        <w:t>Utvikling</w:t>
      </w:r>
      <w:r w:rsidR="00B9703D" w:rsidRPr="00E41391">
        <w:rPr>
          <w:color w:val="000000" w:themeColor="text1"/>
        </w:rPr>
        <w:t>»</w:t>
      </w:r>
      <w:r w:rsidRPr="00E41391">
        <w:rPr>
          <w:color w:val="000000" w:themeColor="text1"/>
        </w:rPr>
        <w:t xml:space="preserve"> er ansvarlig for dette arbeidet.</w:t>
      </w:r>
      <w:r w:rsidR="001B3BCC" w:rsidRPr="00E41391">
        <w:rPr>
          <w:color w:val="000000" w:themeColor="text1"/>
        </w:rPr>
        <w:t xml:space="preserve"> Møte</w:t>
      </w:r>
      <w:r w:rsidR="00E41391" w:rsidRPr="00E41391">
        <w:rPr>
          <w:color w:val="000000" w:themeColor="text1"/>
        </w:rPr>
        <w:t>r</w:t>
      </w:r>
      <w:r w:rsidR="001B3BCC" w:rsidRPr="00E41391">
        <w:rPr>
          <w:color w:val="000000" w:themeColor="text1"/>
        </w:rPr>
        <w:t xml:space="preserve"> med Rogaland brann og redning IKS </w:t>
      </w:r>
      <w:r w:rsidR="00E41391" w:rsidRPr="00E41391">
        <w:rPr>
          <w:color w:val="000000" w:themeColor="text1"/>
        </w:rPr>
        <w:t xml:space="preserve">og </w:t>
      </w:r>
      <w:r w:rsidR="001B3BCC" w:rsidRPr="00E41391">
        <w:rPr>
          <w:color w:val="000000" w:themeColor="text1"/>
        </w:rPr>
        <w:t xml:space="preserve">Helse Stavanger er </w:t>
      </w:r>
      <w:r w:rsidR="00E41391" w:rsidRPr="00E41391">
        <w:rPr>
          <w:color w:val="000000" w:themeColor="text1"/>
        </w:rPr>
        <w:t xml:space="preserve">avholdt. </w:t>
      </w:r>
    </w:p>
    <w:p w:rsidR="000E6608" w:rsidRPr="00C6584C" w:rsidRDefault="00E41391" w:rsidP="00CA5D4D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K</w:t>
      </w:r>
      <w:r w:rsidR="001B3BCC" w:rsidRPr="00E41391">
        <w:rPr>
          <w:color w:val="000000" w:themeColor="text1"/>
        </w:rPr>
        <w:t xml:space="preserve">onkurransegrunnlag for slangevaskmaskin og barrierevaskemaskiner </w:t>
      </w:r>
      <w:r>
        <w:rPr>
          <w:color w:val="000000" w:themeColor="text1"/>
        </w:rPr>
        <w:t>er utarbeidet og gjennomgås uke 16 med PL og bruker før utlysning av anbudskonkurranse.</w:t>
      </w:r>
    </w:p>
    <w:p w:rsidR="00C6584C" w:rsidRPr="00E41391" w:rsidRDefault="00C6584C" w:rsidP="00CA5D4D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Hovedaktivitetere på byggeplass i april:</w:t>
      </w:r>
    </w:p>
    <w:p w:rsidR="00E41391" w:rsidRPr="00E56EBD" w:rsidRDefault="00C6584C" w:rsidP="00C6584C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</w:t>
      </w:r>
      <w:r w:rsidR="00E56EBD">
        <w:rPr>
          <w:color w:val="000000" w:themeColor="text1"/>
        </w:rPr>
        <w:t>tålmontasje i bygg 1</w:t>
      </w:r>
    </w:p>
    <w:p w:rsidR="00E56EBD" w:rsidRPr="00C6584C" w:rsidRDefault="00E56EBD" w:rsidP="00C6584C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C6584C">
        <w:rPr>
          <w:color w:val="000000" w:themeColor="text1"/>
        </w:rPr>
        <w:t>Murarbeider i bygg 2 og 3</w:t>
      </w:r>
    </w:p>
    <w:p w:rsidR="00E56EBD" w:rsidRPr="00E56EBD" w:rsidRDefault="00E56EBD" w:rsidP="00C6584C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Tømmerarbeid i bygg 2 og 3</w:t>
      </w:r>
    </w:p>
    <w:p w:rsidR="00E56EBD" w:rsidRPr="00E56EBD" w:rsidRDefault="00E56EBD" w:rsidP="00C6584C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lastRenderedPageBreak/>
        <w:t>Gulvvarme og støping av gulv på grunn i bygg 1 og 2</w:t>
      </w:r>
    </w:p>
    <w:p w:rsidR="00E56EBD" w:rsidRPr="00E56EBD" w:rsidRDefault="00E56EBD" w:rsidP="00C6584C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Ventilasjonsag</w:t>
      </w:r>
      <w:r w:rsidR="00C6584C">
        <w:rPr>
          <w:color w:val="000000" w:themeColor="text1"/>
        </w:rPr>
        <w:t>g</w:t>
      </w:r>
      <w:r>
        <w:rPr>
          <w:color w:val="000000" w:themeColor="text1"/>
        </w:rPr>
        <w:t>regater monteres i teknisk rom i bygg 3</w:t>
      </w:r>
    </w:p>
    <w:p w:rsidR="00E56EBD" w:rsidRPr="00E41391" w:rsidRDefault="00E56EBD" w:rsidP="00C6584C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Hovedføringer legges for ventilasjon, elektro, rør og elektro i bygg 2 og 3</w:t>
      </w:r>
    </w:p>
    <w:p w:rsidR="00E56EBD" w:rsidRPr="00E56EBD" w:rsidRDefault="00E56EBD" w:rsidP="009761A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E56EBD">
        <w:rPr>
          <w:color w:val="000000" w:themeColor="text1"/>
        </w:rPr>
        <w:t>Avklaringer med DNK pågår ift. forsinket ferdigstilling av prosjektering av nø</w:t>
      </w:r>
      <w:r w:rsidR="000212FD" w:rsidRPr="00E56EBD">
        <w:rPr>
          <w:color w:val="000000" w:themeColor="text1"/>
        </w:rPr>
        <w:t>dnettsdekning for bygget</w:t>
      </w:r>
      <w:r w:rsidRPr="00E56EBD">
        <w:rPr>
          <w:color w:val="000000" w:themeColor="text1"/>
        </w:rPr>
        <w:t xml:space="preserve"> fra DNK. I tillegg pågår avklaringer knyttet til garantidekning hvis vi velger å benytte TE istedenfor DNKs entreprenør ifm. Kablingsarbeider.   </w:t>
      </w:r>
    </w:p>
    <w:p w:rsidR="000212FD" w:rsidRPr="00E56EBD" w:rsidRDefault="000212FD" w:rsidP="009761A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E56EBD">
        <w:rPr>
          <w:color w:val="000000" w:themeColor="text1"/>
        </w:rPr>
        <w:t>Avklaring av 110-sentral pågår (brannsjef avklarer ift. DNK og KS). Behov for avklaring av evt. gjenbruk eller nyanskaffelser av utstyr samt tidspunkt for installasjon.</w:t>
      </w:r>
      <w:r w:rsidR="00E56EBD">
        <w:rPr>
          <w:color w:val="000000" w:themeColor="text1"/>
        </w:rPr>
        <w:t xml:space="preserve"> Dette er ikke på plass foreløpig.</w:t>
      </w:r>
    </w:p>
    <w:p w:rsidR="00B9703D" w:rsidRDefault="00B9703D" w:rsidP="003413B9">
      <w:pPr>
        <w:spacing w:after="0"/>
        <w:rPr>
          <w:b/>
          <w:color w:val="000000" w:themeColor="text1"/>
          <w:u w:val="single"/>
        </w:rPr>
      </w:pP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Kostnader;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756C1B">
        <w:rPr>
          <w:color w:val="000000" w:themeColor="text1"/>
        </w:rPr>
        <w:t>.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>vil</w:t>
      </w:r>
      <w:r w:rsidR="00A91818">
        <w:rPr>
          <w:color w:val="000000" w:themeColor="text1"/>
        </w:rPr>
        <w:t xml:space="preserve"> slik det ser ut pr. april</w:t>
      </w:r>
      <w:r w:rsidR="00756C1B">
        <w:rPr>
          <w:color w:val="000000" w:themeColor="text1"/>
        </w:rPr>
        <w:t xml:space="preserve"> 2016,</w:t>
      </w:r>
      <w:r w:rsidR="00280231">
        <w:rPr>
          <w:color w:val="000000" w:themeColor="text1"/>
        </w:rPr>
        <w:t xml:space="preserve">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B9703D" w:rsidRDefault="00C6584C">
      <w:pPr>
        <w:rPr>
          <w:b/>
          <w:sz w:val="28"/>
          <w:szCs w:val="28"/>
          <w:u w:val="single"/>
        </w:rPr>
      </w:pPr>
      <w:r>
        <w:t xml:space="preserve">BH har økt ressursbruken innen byggherreadministrasjon. </w:t>
      </w:r>
      <w:r w:rsidR="00FD4456">
        <w:t>Økt br</w:t>
      </w:r>
      <w:r>
        <w:t xml:space="preserve">uk av byggeleder som følger opp ift. framdrift og kvalitet på byggeplassen  </w:t>
      </w:r>
      <w:r w:rsidR="00FD4456">
        <w:t xml:space="preserve">samt økt </w:t>
      </w:r>
      <w:r>
        <w:t>bruk av ITB-koordinator (koordinator for integrerte tekniske bygningsinstallasjoner) de områdene vi ser behov for</w:t>
      </w:r>
      <w:r w:rsidR="00FD4456">
        <w:t xml:space="preserve"> å styrke</w:t>
      </w:r>
      <w:r>
        <w:t xml:space="preserve">. </w:t>
      </w:r>
    </w:p>
    <w:p w:rsidR="00B9703D" w:rsidRDefault="00B9703D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D84F34" w:rsidRDefault="00D84F34" w:rsidP="00B9703D">
      <w:pPr>
        <w:pStyle w:val="Listeavsnitt"/>
        <w:numPr>
          <w:ilvl w:val="0"/>
          <w:numId w:val="10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B9703D" w:rsidRDefault="00B9703D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E56EBD">
        <w:rPr>
          <w:rFonts w:ascii="Times New Roman" w:hAnsi="Times New Roman" w:cs="Times New Roman"/>
          <w:sz w:val="24"/>
          <w:szCs w:val="24"/>
        </w:rPr>
        <w:t>16.04.</w:t>
      </w:r>
      <w:r w:rsidR="00756C1B">
        <w:rPr>
          <w:rFonts w:ascii="Times New Roman" w:hAnsi="Times New Roman" w:cs="Times New Roman"/>
          <w:sz w:val="24"/>
          <w:szCs w:val="24"/>
        </w:rPr>
        <w:t>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040B2" w:rsidRDefault="007144E7" w:rsidP="00D84F34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5010C"/>
    <w:multiLevelType w:val="hybridMultilevel"/>
    <w:tmpl w:val="9B0C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0C1"/>
    <w:multiLevelType w:val="hybridMultilevel"/>
    <w:tmpl w:val="D22095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212FD"/>
    <w:rsid w:val="00022593"/>
    <w:rsid w:val="00044B8C"/>
    <w:rsid w:val="00075AC4"/>
    <w:rsid w:val="00075EBA"/>
    <w:rsid w:val="000835D0"/>
    <w:rsid w:val="00085650"/>
    <w:rsid w:val="00097712"/>
    <w:rsid w:val="000B30FA"/>
    <w:rsid w:val="000E6608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B3BCC"/>
    <w:rsid w:val="001E2546"/>
    <w:rsid w:val="00206A8B"/>
    <w:rsid w:val="00263933"/>
    <w:rsid w:val="00280231"/>
    <w:rsid w:val="002A2365"/>
    <w:rsid w:val="002C014A"/>
    <w:rsid w:val="002D1229"/>
    <w:rsid w:val="00325848"/>
    <w:rsid w:val="003413B9"/>
    <w:rsid w:val="00342006"/>
    <w:rsid w:val="00342897"/>
    <w:rsid w:val="003A3682"/>
    <w:rsid w:val="003B2054"/>
    <w:rsid w:val="003D541E"/>
    <w:rsid w:val="003E1121"/>
    <w:rsid w:val="004075E2"/>
    <w:rsid w:val="00430622"/>
    <w:rsid w:val="00477FA7"/>
    <w:rsid w:val="00487D79"/>
    <w:rsid w:val="004A4B82"/>
    <w:rsid w:val="004B1310"/>
    <w:rsid w:val="004B23AB"/>
    <w:rsid w:val="004C093A"/>
    <w:rsid w:val="004E0F9A"/>
    <w:rsid w:val="004F439A"/>
    <w:rsid w:val="005511ED"/>
    <w:rsid w:val="00553313"/>
    <w:rsid w:val="005A2C6B"/>
    <w:rsid w:val="005A4DBB"/>
    <w:rsid w:val="00627625"/>
    <w:rsid w:val="006317D5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20FD8"/>
    <w:rsid w:val="00727BEA"/>
    <w:rsid w:val="00740CC7"/>
    <w:rsid w:val="00756C1B"/>
    <w:rsid w:val="007708FB"/>
    <w:rsid w:val="00781B98"/>
    <w:rsid w:val="00793252"/>
    <w:rsid w:val="007B459C"/>
    <w:rsid w:val="007C30D8"/>
    <w:rsid w:val="007C775B"/>
    <w:rsid w:val="007E20D5"/>
    <w:rsid w:val="007E2845"/>
    <w:rsid w:val="008068CD"/>
    <w:rsid w:val="00820F3D"/>
    <w:rsid w:val="00847DA3"/>
    <w:rsid w:val="008564F7"/>
    <w:rsid w:val="008668CB"/>
    <w:rsid w:val="00873728"/>
    <w:rsid w:val="00891E86"/>
    <w:rsid w:val="008B1C57"/>
    <w:rsid w:val="008C1A3D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9F6F17"/>
    <w:rsid w:val="00A21214"/>
    <w:rsid w:val="00A6459D"/>
    <w:rsid w:val="00A834D7"/>
    <w:rsid w:val="00A91818"/>
    <w:rsid w:val="00AA60A7"/>
    <w:rsid w:val="00AA62F2"/>
    <w:rsid w:val="00AA7F4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86F70"/>
    <w:rsid w:val="00B9703D"/>
    <w:rsid w:val="00BB1A4C"/>
    <w:rsid w:val="00BC664E"/>
    <w:rsid w:val="00BD041B"/>
    <w:rsid w:val="00BF66BD"/>
    <w:rsid w:val="00C27D11"/>
    <w:rsid w:val="00C470A3"/>
    <w:rsid w:val="00C6584C"/>
    <w:rsid w:val="00C83D30"/>
    <w:rsid w:val="00CC5B49"/>
    <w:rsid w:val="00CE31E1"/>
    <w:rsid w:val="00CF12DB"/>
    <w:rsid w:val="00CF4C50"/>
    <w:rsid w:val="00D74518"/>
    <w:rsid w:val="00D84F34"/>
    <w:rsid w:val="00D90003"/>
    <w:rsid w:val="00DA5991"/>
    <w:rsid w:val="00DE58E6"/>
    <w:rsid w:val="00DF14E9"/>
    <w:rsid w:val="00E35F1D"/>
    <w:rsid w:val="00E41391"/>
    <w:rsid w:val="00E51D94"/>
    <w:rsid w:val="00E56EBD"/>
    <w:rsid w:val="00E62959"/>
    <w:rsid w:val="00EC33DD"/>
    <w:rsid w:val="00F074D4"/>
    <w:rsid w:val="00F173B1"/>
    <w:rsid w:val="00F228E5"/>
    <w:rsid w:val="00F26654"/>
    <w:rsid w:val="00F52164"/>
    <w:rsid w:val="00F55967"/>
    <w:rsid w:val="00F65156"/>
    <w:rsid w:val="00F659E3"/>
    <w:rsid w:val="00FC2EC8"/>
    <w:rsid w:val="00FD44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A7D2-DC6D-4C27-ABA8-3A70A2C5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2015-11-03T10:01:00Z</cp:lastPrinted>
  <dcterms:created xsi:type="dcterms:W3CDTF">2016-04-16T11:05:00Z</dcterms:created>
  <dcterms:modified xsi:type="dcterms:W3CDTF">2016-04-19T19:30:00Z</dcterms:modified>
</cp:coreProperties>
</file>